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FEB2" w14:textId="77777777" w:rsidR="007A6282" w:rsidRPr="00AC72B8" w:rsidRDefault="007A6282" w:rsidP="007A6282">
      <w:pPr>
        <w:jc w:val="center"/>
        <w:rPr>
          <w:b/>
          <w:bCs/>
          <w:caps/>
          <w:sz w:val="24"/>
          <w:szCs w:val="24"/>
          <w:u w:val="single"/>
          <w:lang w:val="en-GB" w:eastAsia="nl-NL"/>
        </w:rPr>
      </w:pPr>
      <w:r w:rsidRPr="00AC72B8">
        <w:rPr>
          <w:b/>
          <w:bCs/>
          <w:caps/>
          <w:sz w:val="24"/>
          <w:szCs w:val="24"/>
          <w:u w:val="single"/>
          <w:lang w:val="en-GB" w:eastAsia="nl-NL"/>
        </w:rPr>
        <w:t>power of attorney</w:t>
      </w:r>
    </w:p>
    <w:p w14:paraId="2044BC65" w14:textId="77777777" w:rsidR="007A6282" w:rsidRPr="00AC72B8" w:rsidRDefault="007A6282" w:rsidP="007A6282">
      <w:pPr>
        <w:jc w:val="center"/>
        <w:rPr>
          <w:b/>
          <w:bCs/>
          <w:caps/>
          <w:sz w:val="24"/>
          <w:szCs w:val="24"/>
          <w:u w:val="single"/>
          <w:lang w:val="en-GB" w:eastAsia="nl-NL"/>
        </w:rPr>
      </w:pPr>
    </w:p>
    <w:p w14:paraId="07FC3E58" w14:textId="77777777" w:rsidR="007A6282" w:rsidRPr="00AC72B8" w:rsidRDefault="007A6282" w:rsidP="007A6282">
      <w:pPr>
        <w:jc w:val="center"/>
        <w:rPr>
          <w:b/>
          <w:bCs/>
          <w:caps/>
          <w:sz w:val="24"/>
          <w:szCs w:val="24"/>
          <w:lang w:val="en-GB" w:eastAsia="nl-NL"/>
        </w:rPr>
      </w:pPr>
      <w:r w:rsidRPr="00AC72B8">
        <w:rPr>
          <w:b/>
          <w:bCs/>
          <w:caps/>
          <w:sz w:val="24"/>
          <w:szCs w:val="24"/>
          <w:lang w:val="en-GB" w:eastAsia="nl-NL"/>
        </w:rPr>
        <w:t>general meeting of shareholders</w:t>
      </w:r>
    </w:p>
    <w:p w14:paraId="72F06CAA" w14:textId="77777777" w:rsidR="007A6282" w:rsidRPr="00AC72B8" w:rsidRDefault="007A6282" w:rsidP="007A6282">
      <w:pPr>
        <w:jc w:val="center"/>
        <w:rPr>
          <w:b/>
          <w:bCs/>
          <w:caps/>
          <w:sz w:val="24"/>
          <w:szCs w:val="24"/>
          <w:lang w:val="en-GB" w:eastAsia="nl-NL"/>
        </w:rPr>
      </w:pPr>
      <w:r w:rsidRPr="00AC72B8">
        <w:rPr>
          <w:b/>
          <w:bCs/>
          <w:caps/>
          <w:sz w:val="24"/>
          <w:szCs w:val="24"/>
          <w:lang w:val="en-GB" w:eastAsia="nl-NL"/>
        </w:rPr>
        <w:t>KENDRION N.V.</w:t>
      </w:r>
    </w:p>
    <w:p w14:paraId="0C85A687" w14:textId="6C4FDAC9" w:rsidR="007A6282" w:rsidRPr="00AC72B8" w:rsidRDefault="007A6282" w:rsidP="007A6282">
      <w:pPr>
        <w:jc w:val="center"/>
        <w:rPr>
          <w:b/>
          <w:bCs/>
          <w:caps/>
          <w:sz w:val="24"/>
          <w:szCs w:val="24"/>
          <w:lang w:val="en-GB" w:eastAsia="nl-NL"/>
        </w:rPr>
      </w:pPr>
      <w:r w:rsidRPr="00AC72B8">
        <w:rPr>
          <w:b/>
          <w:bCs/>
          <w:caps/>
          <w:sz w:val="24"/>
          <w:szCs w:val="24"/>
          <w:lang w:val="en-GB" w:eastAsia="nl-NL"/>
        </w:rPr>
        <w:t xml:space="preserve">AMSTERDAm, </w:t>
      </w:r>
      <w:r w:rsidR="006C63D9">
        <w:rPr>
          <w:b/>
          <w:bCs/>
          <w:caps/>
          <w:sz w:val="24"/>
          <w:szCs w:val="24"/>
          <w:lang w:val="en-GB" w:eastAsia="nl-NL"/>
        </w:rPr>
        <w:t>mond</w:t>
      </w:r>
      <w:r w:rsidR="00907B31">
        <w:rPr>
          <w:b/>
          <w:bCs/>
          <w:caps/>
          <w:sz w:val="24"/>
          <w:szCs w:val="24"/>
          <w:lang w:val="en-GB" w:eastAsia="nl-NL"/>
        </w:rPr>
        <w:t>A</w:t>
      </w:r>
      <w:r w:rsidRPr="00AC72B8">
        <w:rPr>
          <w:b/>
          <w:bCs/>
          <w:caps/>
          <w:sz w:val="24"/>
          <w:szCs w:val="24"/>
          <w:lang w:val="en-GB" w:eastAsia="nl-NL"/>
        </w:rPr>
        <w:t xml:space="preserve">Y </w:t>
      </w:r>
      <w:r w:rsidR="006C63D9">
        <w:rPr>
          <w:b/>
          <w:bCs/>
          <w:caps/>
          <w:sz w:val="24"/>
          <w:szCs w:val="24"/>
          <w:lang w:val="en-GB" w:eastAsia="nl-NL"/>
        </w:rPr>
        <w:t>1</w:t>
      </w:r>
      <w:r w:rsidR="00930E89">
        <w:rPr>
          <w:b/>
          <w:bCs/>
          <w:caps/>
          <w:sz w:val="24"/>
          <w:szCs w:val="24"/>
          <w:lang w:val="en-GB" w:eastAsia="nl-NL"/>
        </w:rPr>
        <w:t>1</w:t>
      </w:r>
      <w:r w:rsidR="00907B31">
        <w:rPr>
          <w:b/>
          <w:bCs/>
          <w:caps/>
          <w:sz w:val="24"/>
          <w:szCs w:val="24"/>
          <w:lang w:val="en-GB" w:eastAsia="nl-NL"/>
        </w:rPr>
        <w:t xml:space="preserve"> </w:t>
      </w:r>
      <w:r w:rsidR="006C63D9">
        <w:rPr>
          <w:b/>
          <w:bCs/>
          <w:caps/>
          <w:sz w:val="24"/>
          <w:szCs w:val="24"/>
          <w:lang w:val="en-GB" w:eastAsia="nl-NL"/>
        </w:rPr>
        <w:t xml:space="preserve">april </w:t>
      </w:r>
      <w:r w:rsidRPr="00AC72B8">
        <w:rPr>
          <w:b/>
          <w:bCs/>
          <w:caps/>
          <w:sz w:val="24"/>
          <w:szCs w:val="24"/>
          <w:lang w:val="en-GB" w:eastAsia="nl-NL"/>
        </w:rPr>
        <w:t>20</w:t>
      </w:r>
      <w:r w:rsidR="008428AF">
        <w:rPr>
          <w:b/>
          <w:bCs/>
          <w:caps/>
          <w:sz w:val="24"/>
          <w:szCs w:val="24"/>
          <w:lang w:val="en-GB" w:eastAsia="nl-NL"/>
        </w:rPr>
        <w:t>2</w:t>
      </w:r>
      <w:r w:rsidR="00930E89">
        <w:rPr>
          <w:b/>
          <w:bCs/>
          <w:caps/>
          <w:sz w:val="24"/>
          <w:szCs w:val="24"/>
          <w:lang w:val="en-GB" w:eastAsia="nl-NL"/>
        </w:rPr>
        <w:t>2</w:t>
      </w:r>
      <w:r w:rsidRPr="00AC72B8">
        <w:rPr>
          <w:b/>
          <w:bCs/>
          <w:caps/>
          <w:sz w:val="24"/>
          <w:szCs w:val="24"/>
          <w:lang w:val="en-GB" w:eastAsia="nl-NL"/>
        </w:rPr>
        <w:t xml:space="preserve">, </w:t>
      </w:r>
      <w:r w:rsidR="003F4B10">
        <w:rPr>
          <w:b/>
          <w:bCs/>
          <w:caps/>
          <w:sz w:val="24"/>
          <w:szCs w:val="24"/>
          <w:lang w:val="en-GB" w:eastAsia="nl-NL"/>
        </w:rPr>
        <w:t>2pm</w:t>
      </w:r>
      <w:r w:rsidRPr="00AC72B8">
        <w:rPr>
          <w:b/>
          <w:bCs/>
          <w:caps/>
          <w:sz w:val="24"/>
          <w:szCs w:val="24"/>
          <w:lang w:val="en-GB" w:eastAsia="nl-NL"/>
        </w:rPr>
        <w:t xml:space="preserve"> </w:t>
      </w:r>
      <w:r w:rsidR="003F4B10">
        <w:rPr>
          <w:b/>
          <w:bCs/>
          <w:caps/>
          <w:sz w:val="24"/>
          <w:szCs w:val="24"/>
          <w:lang w:val="en-GB" w:eastAsia="nl-NL"/>
        </w:rPr>
        <w:t>CET</w:t>
      </w:r>
    </w:p>
    <w:p w14:paraId="7E524AC0" w14:textId="77777777" w:rsidR="007A6282" w:rsidRDefault="007A6282" w:rsidP="007A6282">
      <w:pPr>
        <w:rPr>
          <w:rFonts w:eastAsiaTheme="minorEastAsia"/>
          <w:lang w:val="en-GB"/>
        </w:rPr>
      </w:pPr>
    </w:p>
    <w:p w14:paraId="360AB36B" w14:textId="77777777" w:rsidR="007A6282" w:rsidRPr="00AC72B8" w:rsidRDefault="007A6282" w:rsidP="007A6282">
      <w:pPr>
        <w:rPr>
          <w:rFonts w:eastAsiaTheme="minorEastAsia"/>
          <w:lang w:val="en-GB"/>
        </w:rPr>
      </w:pPr>
    </w:p>
    <w:p w14:paraId="5391D986" w14:textId="77777777" w:rsidR="007A6282" w:rsidRPr="00AC72B8" w:rsidRDefault="007A6282" w:rsidP="007A6282">
      <w:pPr>
        <w:jc w:val="both"/>
        <w:rPr>
          <w:rFonts w:eastAsiaTheme="minorEastAsia"/>
          <w:b/>
          <w:bCs/>
          <w:lang w:val="en-GB"/>
        </w:rPr>
      </w:pPr>
      <w:r w:rsidRPr="00AC72B8">
        <w:rPr>
          <w:rFonts w:eastAsiaTheme="minorEastAsia"/>
          <w:b/>
          <w:bCs/>
          <w:lang w:val="en-GB"/>
        </w:rPr>
        <w:t>The undersigned:</w:t>
      </w:r>
    </w:p>
    <w:p w14:paraId="1D52D8BA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0E511264" w14:textId="0BC30359" w:rsidR="007A6282" w:rsidRPr="00AC72B8" w:rsidRDefault="007A6282" w:rsidP="007A6282">
      <w:pPr>
        <w:jc w:val="both"/>
        <w:rPr>
          <w:rFonts w:eastAsiaTheme="minorEastAsia"/>
          <w:lang w:val="en-GB"/>
        </w:rPr>
      </w:pPr>
      <w:r w:rsidRPr="00AC72B8">
        <w:rPr>
          <w:rFonts w:eastAsiaTheme="minorEastAsia"/>
          <w:lang w:val="en-GB"/>
        </w:rPr>
        <w:t xml:space="preserve">______________________________________, acting in its capacity of holder of ______________ </w:t>
      </w:r>
      <w:r w:rsidRPr="00AC72B8">
        <w:rPr>
          <w:rFonts w:eastAsiaTheme="minorEastAsia"/>
          <w:i/>
          <w:sz w:val="16"/>
          <w:szCs w:val="16"/>
          <w:lang w:val="en-GB"/>
        </w:rPr>
        <w:t>(please fill out number)</w:t>
      </w:r>
      <w:r w:rsidRPr="00AC72B8">
        <w:rPr>
          <w:rFonts w:eastAsiaTheme="minorEastAsia"/>
          <w:lang w:val="en-GB"/>
        </w:rPr>
        <w:t xml:space="preserve"> shares in the capital of Ke</w:t>
      </w:r>
      <w:r w:rsidR="00907B31">
        <w:rPr>
          <w:rFonts w:eastAsiaTheme="minorEastAsia"/>
          <w:lang w:val="en-GB"/>
        </w:rPr>
        <w:t xml:space="preserve">ndrion N.V., registered in </w:t>
      </w:r>
      <w:r w:rsidR="005F0108">
        <w:rPr>
          <w:rFonts w:eastAsiaTheme="minorEastAsia"/>
          <w:lang w:val="en-GB"/>
        </w:rPr>
        <w:t>Amsterdam</w:t>
      </w:r>
      <w:r w:rsidRPr="00AC72B8">
        <w:rPr>
          <w:rFonts w:eastAsiaTheme="minorEastAsia"/>
          <w:lang w:val="en-GB"/>
        </w:rPr>
        <w:t xml:space="preserve">, the Netherlands (hereinafter: the ‘Company’), </w:t>
      </w:r>
    </w:p>
    <w:p w14:paraId="573B505B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19869E95" w14:textId="77777777" w:rsidR="007A6282" w:rsidRPr="00AC72B8" w:rsidRDefault="007A6282" w:rsidP="007A6282">
      <w:pPr>
        <w:jc w:val="both"/>
        <w:rPr>
          <w:rFonts w:eastAsiaTheme="minorEastAsia"/>
          <w:b/>
          <w:bCs/>
          <w:lang w:val="en-GB"/>
        </w:rPr>
      </w:pPr>
      <w:r w:rsidRPr="00AC72B8">
        <w:rPr>
          <w:rFonts w:eastAsiaTheme="minorEastAsia"/>
          <w:b/>
          <w:bCs/>
          <w:lang w:val="en-GB"/>
        </w:rPr>
        <w:t>grants hereby a power of attorney to each of:</w:t>
      </w:r>
    </w:p>
    <w:p w14:paraId="5C7E86B4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7D0299A7" w14:textId="2B1FF8DC" w:rsidR="007A6282" w:rsidRPr="00AC72B8" w:rsidRDefault="007A6282" w:rsidP="007A6282">
      <w:pPr>
        <w:jc w:val="both"/>
        <w:rPr>
          <w:rFonts w:eastAsiaTheme="minorEastAsia"/>
          <w:lang w:val="en-GB"/>
        </w:rPr>
      </w:pPr>
      <w:r w:rsidRPr="00AC72B8">
        <w:rPr>
          <w:rFonts w:eastAsiaTheme="minorEastAsia"/>
          <w:lang w:val="en-GB"/>
        </w:rPr>
        <w:t>M</w:t>
      </w:r>
      <w:r>
        <w:rPr>
          <w:rFonts w:eastAsiaTheme="minorEastAsia"/>
          <w:lang w:val="en-GB"/>
        </w:rPr>
        <w:t>rs</w:t>
      </w:r>
      <w:r w:rsidRPr="00AC72B8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 xml:space="preserve">Y. Wiersma </w:t>
      </w:r>
      <w:r w:rsidRPr="00AC72B8">
        <w:rPr>
          <w:rFonts w:eastAsiaTheme="minorEastAsia"/>
          <w:lang w:val="en-GB"/>
        </w:rPr>
        <w:t>(Co</w:t>
      </w:r>
      <w:r>
        <w:rPr>
          <w:rFonts w:eastAsiaTheme="minorEastAsia"/>
          <w:lang w:val="en-GB"/>
        </w:rPr>
        <w:t>mpany</w:t>
      </w:r>
      <w:r w:rsidRPr="00AC72B8">
        <w:rPr>
          <w:rFonts w:eastAsiaTheme="minorEastAsia"/>
          <w:lang w:val="en-GB"/>
        </w:rPr>
        <w:t xml:space="preserve"> Secretary) and Mrs </w:t>
      </w:r>
      <w:r>
        <w:rPr>
          <w:rFonts w:eastAsiaTheme="minorEastAsia"/>
          <w:lang w:val="en-GB"/>
        </w:rPr>
        <w:t>H. Verhoeven</w:t>
      </w:r>
      <w:r w:rsidRPr="00AC72B8">
        <w:rPr>
          <w:rFonts w:eastAsiaTheme="minorEastAsia"/>
          <w:lang w:val="en-GB"/>
        </w:rPr>
        <w:t xml:space="preserve"> (</w:t>
      </w:r>
      <w:r w:rsidR="000B0F90">
        <w:rPr>
          <w:rFonts w:eastAsiaTheme="minorEastAsia"/>
          <w:lang w:val="en-GB"/>
        </w:rPr>
        <w:t>Legal</w:t>
      </w:r>
      <w:r w:rsidR="008428AF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>Counsel</w:t>
      </w:r>
      <w:r w:rsidRPr="00AC72B8">
        <w:rPr>
          <w:rFonts w:eastAsiaTheme="minorEastAsia"/>
          <w:lang w:val="en-GB"/>
        </w:rPr>
        <w:t xml:space="preserve">), both employees of the Company, </w:t>
      </w:r>
    </w:p>
    <w:p w14:paraId="67CD9BF1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55E46B8E" w14:textId="77777777" w:rsidR="007A6282" w:rsidRPr="00AC72B8" w:rsidRDefault="007A6282" w:rsidP="007A6282">
      <w:pPr>
        <w:jc w:val="both"/>
        <w:rPr>
          <w:rFonts w:eastAsiaTheme="minorEastAsia"/>
          <w:b/>
          <w:bCs/>
          <w:lang w:val="en-GB"/>
        </w:rPr>
      </w:pPr>
      <w:r w:rsidRPr="00AC72B8">
        <w:rPr>
          <w:rFonts w:eastAsiaTheme="minorEastAsia"/>
          <w:b/>
          <w:bCs/>
          <w:lang w:val="en-GB"/>
        </w:rPr>
        <w:t>to represent, each and individually, the undersigned as follows:</w:t>
      </w:r>
    </w:p>
    <w:p w14:paraId="36FEFBDB" w14:textId="77777777" w:rsidR="007A6282" w:rsidRPr="00AC72B8" w:rsidRDefault="007A6282" w:rsidP="007A6282">
      <w:pPr>
        <w:jc w:val="both"/>
        <w:rPr>
          <w:rFonts w:eastAsiaTheme="minorEastAsia"/>
          <w:b/>
          <w:bCs/>
          <w:lang w:val="en-GB"/>
        </w:rPr>
      </w:pPr>
    </w:p>
    <w:p w14:paraId="6F10CF28" w14:textId="2C1FF125" w:rsidR="007A6282" w:rsidRDefault="007A6282" w:rsidP="007A6282">
      <w:pPr>
        <w:jc w:val="both"/>
        <w:rPr>
          <w:szCs w:val="22"/>
          <w:lang w:val="en-GB" w:eastAsia="nl-NL"/>
        </w:rPr>
      </w:pPr>
      <w:r w:rsidRPr="00AC72B8">
        <w:rPr>
          <w:szCs w:val="24"/>
          <w:lang w:val="en-GB" w:eastAsia="nl-NL"/>
        </w:rPr>
        <w:t xml:space="preserve">to participate in the General Meeting of Shareholders of the Company to be held on </w:t>
      </w:r>
      <w:r w:rsidR="00756509">
        <w:rPr>
          <w:szCs w:val="24"/>
          <w:lang w:val="en-GB" w:eastAsia="nl-NL"/>
        </w:rPr>
        <w:t>1</w:t>
      </w:r>
      <w:r w:rsidR="00930E89">
        <w:rPr>
          <w:szCs w:val="24"/>
          <w:lang w:val="en-GB" w:eastAsia="nl-NL"/>
        </w:rPr>
        <w:t>1</w:t>
      </w:r>
      <w:r w:rsidRPr="00AC72B8">
        <w:rPr>
          <w:szCs w:val="24"/>
          <w:lang w:val="en-GB" w:eastAsia="nl-NL"/>
        </w:rPr>
        <w:t> April 20</w:t>
      </w:r>
      <w:r w:rsidR="008428AF">
        <w:rPr>
          <w:szCs w:val="24"/>
          <w:lang w:val="en-GB" w:eastAsia="nl-NL"/>
        </w:rPr>
        <w:t>2</w:t>
      </w:r>
      <w:r w:rsidR="00930E89">
        <w:rPr>
          <w:szCs w:val="24"/>
          <w:lang w:val="en-GB" w:eastAsia="nl-NL"/>
        </w:rPr>
        <w:t>2</w:t>
      </w:r>
      <w:r>
        <w:rPr>
          <w:szCs w:val="24"/>
          <w:lang w:val="en-GB" w:eastAsia="nl-NL"/>
        </w:rPr>
        <w:t>,</w:t>
      </w:r>
      <w:r w:rsidRPr="00AC72B8">
        <w:rPr>
          <w:szCs w:val="24"/>
          <w:lang w:val="en-GB" w:eastAsia="nl-NL"/>
        </w:rPr>
        <w:t xml:space="preserve"> to sign the list of participants, to speak in the General Meeting of Shareholders and to vote as follows </w:t>
      </w:r>
      <w:r w:rsidRPr="00AC72B8">
        <w:rPr>
          <w:i/>
          <w:sz w:val="16"/>
          <w:szCs w:val="16"/>
          <w:lang w:val="en-GB" w:eastAsia="nl-NL"/>
        </w:rPr>
        <w:t>(please mark what is applicable)</w:t>
      </w:r>
      <w:r w:rsidRPr="00AC72B8">
        <w:rPr>
          <w:szCs w:val="22"/>
          <w:lang w:val="en-GB" w:eastAsia="nl-NL"/>
        </w:rPr>
        <w:t>:</w:t>
      </w:r>
    </w:p>
    <w:p w14:paraId="72E8201F" w14:textId="77777777" w:rsidR="007A6282" w:rsidRPr="00AC72B8" w:rsidRDefault="007A6282" w:rsidP="007A6282">
      <w:pPr>
        <w:jc w:val="both"/>
        <w:rPr>
          <w:i/>
          <w:sz w:val="18"/>
          <w:szCs w:val="18"/>
          <w:lang w:val="en-GB" w:eastAsia="nl-N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458"/>
        <w:gridCol w:w="992"/>
        <w:gridCol w:w="992"/>
        <w:gridCol w:w="1134"/>
      </w:tblGrid>
      <w:tr w:rsidR="007A6282" w:rsidRPr="00AC72B8" w14:paraId="3E2916AD" w14:textId="77777777" w:rsidTr="00955D2D">
        <w:tc>
          <w:tcPr>
            <w:tcW w:w="625" w:type="dxa"/>
          </w:tcPr>
          <w:p w14:paraId="4E25495C" w14:textId="77777777" w:rsidR="007A6282" w:rsidRPr="00AC72B8" w:rsidRDefault="007A6282" w:rsidP="00955D2D">
            <w:pPr>
              <w:jc w:val="right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6458" w:type="dxa"/>
          </w:tcPr>
          <w:p w14:paraId="077C3142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427A547E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  <w:r w:rsidRPr="00AC72B8">
              <w:rPr>
                <w:rFonts w:cs="Arial"/>
                <w:sz w:val="20"/>
                <w:lang w:val="en-GB" w:eastAsia="nl-NL"/>
              </w:rPr>
              <w:t xml:space="preserve">In favour </w:t>
            </w:r>
          </w:p>
        </w:tc>
        <w:tc>
          <w:tcPr>
            <w:tcW w:w="992" w:type="dxa"/>
          </w:tcPr>
          <w:p w14:paraId="6A08435B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  <w:r w:rsidRPr="00AC72B8">
              <w:rPr>
                <w:rFonts w:cs="Arial"/>
                <w:sz w:val="20"/>
                <w:lang w:val="en-GB" w:eastAsia="nl-NL"/>
              </w:rPr>
              <w:t>Against</w:t>
            </w:r>
          </w:p>
        </w:tc>
        <w:tc>
          <w:tcPr>
            <w:tcW w:w="1134" w:type="dxa"/>
          </w:tcPr>
          <w:p w14:paraId="5A0CF53D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  <w:r w:rsidRPr="00AC72B8">
              <w:rPr>
                <w:rFonts w:cs="Arial"/>
                <w:sz w:val="20"/>
                <w:lang w:val="en-GB" w:eastAsia="nl-NL"/>
              </w:rPr>
              <w:t>Abstained</w:t>
            </w:r>
          </w:p>
        </w:tc>
      </w:tr>
      <w:tr w:rsidR="008428AF" w:rsidRPr="0020449D" w14:paraId="75A12033" w14:textId="77777777" w:rsidTr="00955D2D">
        <w:tc>
          <w:tcPr>
            <w:tcW w:w="625" w:type="dxa"/>
          </w:tcPr>
          <w:p w14:paraId="4957CBCE" w14:textId="6072EC49" w:rsidR="008428AF" w:rsidRPr="00AC72B8" w:rsidRDefault="00C1272C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3</w:t>
            </w:r>
            <w:r w:rsidR="00930E89">
              <w:rPr>
                <w:rFonts w:cs="Arial"/>
                <w:b/>
                <w:bCs/>
                <w:sz w:val="20"/>
                <w:lang w:val="en-GB" w:eastAsia="nl-NL"/>
              </w:rPr>
              <w:t>a</w:t>
            </w:r>
          </w:p>
        </w:tc>
        <w:tc>
          <w:tcPr>
            <w:tcW w:w="6458" w:type="dxa"/>
          </w:tcPr>
          <w:p w14:paraId="48327953" w14:textId="55A7DA17" w:rsidR="008428AF" w:rsidRDefault="00930E89" w:rsidP="00955D2D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Adoption of the 202</w:t>
            </w:r>
            <w:r w:rsidR="004018E7">
              <w:rPr>
                <w:rFonts w:cs="Arial"/>
                <w:b/>
                <w:bCs/>
                <w:sz w:val="20"/>
                <w:lang w:val="en-GB" w:eastAsia="nl-NL"/>
              </w:rPr>
              <w:t>1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>f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inancial 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>s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>tatements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 xml:space="preserve"> </w:t>
            </w:r>
          </w:p>
        </w:tc>
        <w:tc>
          <w:tcPr>
            <w:tcW w:w="992" w:type="dxa"/>
          </w:tcPr>
          <w:p w14:paraId="536536AC" w14:textId="77777777" w:rsidR="008428AF" w:rsidRPr="00AC72B8" w:rsidRDefault="008428AF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6CEF564C" w14:textId="77777777" w:rsidR="008428AF" w:rsidRPr="00AC72B8" w:rsidRDefault="008428AF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34CE9E71" w14:textId="77777777" w:rsidR="008428AF" w:rsidRPr="00AC72B8" w:rsidRDefault="008428AF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7A6282" w:rsidRPr="00930E89" w14:paraId="7C7C6CF9" w14:textId="77777777" w:rsidTr="00955D2D">
        <w:tc>
          <w:tcPr>
            <w:tcW w:w="625" w:type="dxa"/>
          </w:tcPr>
          <w:p w14:paraId="415D4BD9" w14:textId="1C31DA6C" w:rsidR="007A6282" w:rsidRPr="00AC72B8" w:rsidRDefault="00930E89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3b</w:t>
            </w:r>
          </w:p>
        </w:tc>
        <w:tc>
          <w:tcPr>
            <w:tcW w:w="6458" w:type="dxa"/>
          </w:tcPr>
          <w:p w14:paraId="33339F78" w14:textId="56F78864" w:rsidR="007A6282" w:rsidRPr="00930E89" w:rsidRDefault="00930E89" w:rsidP="001806E8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 w:rsidRPr="00930E89">
              <w:rPr>
                <w:rFonts w:cs="Arial"/>
                <w:b/>
                <w:bCs/>
                <w:sz w:val="20"/>
                <w:lang w:val="en-GB" w:eastAsia="nl-NL"/>
              </w:rPr>
              <w:t xml:space="preserve">Dividend over financial 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>y</w:t>
            </w:r>
            <w:r w:rsidRPr="00930E89">
              <w:rPr>
                <w:rFonts w:cs="Arial"/>
                <w:b/>
                <w:bCs/>
                <w:sz w:val="20"/>
                <w:lang w:val="en-GB" w:eastAsia="nl-NL"/>
              </w:rPr>
              <w:t>ear 2021</w:t>
            </w:r>
          </w:p>
        </w:tc>
        <w:tc>
          <w:tcPr>
            <w:tcW w:w="992" w:type="dxa"/>
          </w:tcPr>
          <w:p w14:paraId="5E799E0D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7AB1424B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7D4934D3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7A6282" w:rsidRPr="0020449D" w14:paraId="6970ACCE" w14:textId="77777777" w:rsidTr="00955D2D">
        <w:tc>
          <w:tcPr>
            <w:tcW w:w="625" w:type="dxa"/>
          </w:tcPr>
          <w:p w14:paraId="4C6D8311" w14:textId="2B68EC57" w:rsidR="007A6282" w:rsidRPr="00AC72B8" w:rsidRDefault="00DC53CD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4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>a</w:t>
            </w:r>
          </w:p>
        </w:tc>
        <w:tc>
          <w:tcPr>
            <w:tcW w:w="6458" w:type="dxa"/>
          </w:tcPr>
          <w:p w14:paraId="204A11B3" w14:textId="77777777" w:rsidR="007A6282" w:rsidRPr="00AC72B8" w:rsidRDefault="007A6282" w:rsidP="001806E8">
            <w:pPr>
              <w:rPr>
                <w:rFonts w:cs="Arial"/>
                <w:sz w:val="20"/>
                <w:lang w:val="en-GB" w:eastAsia="nl-NL"/>
              </w:rPr>
            </w:pP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Discharge 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 xml:space="preserve">of the 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members 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 xml:space="preserve">of the 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>Executive Board</w:t>
            </w:r>
          </w:p>
        </w:tc>
        <w:tc>
          <w:tcPr>
            <w:tcW w:w="992" w:type="dxa"/>
          </w:tcPr>
          <w:p w14:paraId="5495B06E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0D9E52D7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0DDCC4A5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7A6282" w:rsidRPr="0020449D" w14:paraId="2FE2D32C" w14:textId="77777777" w:rsidTr="00955D2D">
        <w:tc>
          <w:tcPr>
            <w:tcW w:w="625" w:type="dxa"/>
          </w:tcPr>
          <w:p w14:paraId="22A243E3" w14:textId="68F77F8D" w:rsidR="007A6282" w:rsidRPr="00AC72B8" w:rsidRDefault="00DC53CD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4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>b</w:t>
            </w:r>
          </w:p>
        </w:tc>
        <w:tc>
          <w:tcPr>
            <w:tcW w:w="6458" w:type="dxa"/>
          </w:tcPr>
          <w:p w14:paraId="46132844" w14:textId="77777777" w:rsidR="007A6282" w:rsidRPr="008428AF" w:rsidRDefault="007A6282" w:rsidP="00955D2D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>Discharge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 xml:space="preserve"> of the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 members 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 xml:space="preserve">of the 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>Supervisory Board</w:t>
            </w:r>
          </w:p>
        </w:tc>
        <w:tc>
          <w:tcPr>
            <w:tcW w:w="992" w:type="dxa"/>
          </w:tcPr>
          <w:p w14:paraId="67FC9982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609A0424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0F9DB2D8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7A6282" w:rsidRPr="00930E89" w14:paraId="02B33DCE" w14:textId="77777777" w:rsidTr="00955D2D">
        <w:tc>
          <w:tcPr>
            <w:tcW w:w="625" w:type="dxa"/>
          </w:tcPr>
          <w:p w14:paraId="698207C5" w14:textId="6D9E3053" w:rsidR="007A6282" w:rsidRPr="00AC72B8" w:rsidRDefault="004018E7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5</w:t>
            </w:r>
          </w:p>
        </w:tc>
        <w:tc>
          <w:tcPr>
            <w:tcW w:w="6458" w:type="dxa"/>
          </w:tcPr>
          <w:p w14:paraId="3C710408" w14:textId="5CC0CAFE" w:rsidR="007A6282" w:rsidRPr="00AC72B8" w:rsidRDefault="004018E7" w:rsidP="00955D2D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Remuneration report 2021 (for advice)</w:t>
            </w:r>
          </w:p>
        </w:tc>
        <w:tc>
          <w:tcPr>
            <w:tcW w:w="992" w:type="dxa"/>
          </w:tcPr>
          <w:p w14:paraId="56B47D39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6534D723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372E34FA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4018E7" w:rsidRPr="00930E89" w14:paraId="3B9CA025" w14:textId="77777777" w:rsidTr="00955D2D">
        <w:tc>
          <w:tcPr>
            <w:tcW w:w="625" w:type="dxa"/>
          </w:tcPr>
          <w:p w14:paraId="5BBAEA71" w14:textId="02B891B9" w:rsidR="004018E7" w:rsidRDefault="004018E7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6</w:t>
            </w:r>
          </w:p>
        </w:tc>
        <w:tc>
          <w:tcPr>
            <w:tcW w:w="6458" w:type="dxa"/>
          </w:tcPr>
          <w:p w14:paraId="2CC0E185" w14:textId="2912AE86" w:rsidR="004018E7" w:rsidRDefault="004018E7" w:rsidP="00955D2D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Revisions to remuneration policy</w:t>
            </w:r>
          </w:p>
        </w:tc>
        <w:tc>
          <w:tcPr>
            <w:tcW w:w="992" w:type="dxa"/>
          </w:tcPr>
          <w:p w14:paraId="7E987771" w14:textId="77777777" w:rsidR="004018E7" w:rsidRPr="00AC72B8" w:rsidRDefault="004018E7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3A2B18DF" w14:textId="77777777" w:rsidR="004018E7" w:rsidRPr="00AC72B8" w:rsidRDefault="004018E7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2265EF5E" w14:textId="77777777" w:rsidR="004018E7" w:rsidRPr="00AC72B8" w:rsidRDefault="004018E7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4018E7" w:rsidRPr="00930E89" w14:paraId="76A1928D" w14:textId="77777777" w:rsidTr="00955D2D">
        <w:tc>
          <w:tcPr>
            <w:tcW w:w="625" w:type="dxa"/>
          </w:tcPr>
          <w:p w14:paraId="26AC325F" w14:textId="7AC8AAF6" w:rsidR="004018E7" w:rsidRDefault="004018E7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7a</w:t>
            </w:r>
          </w:p>
        </w:tc>
        <w:tc>
          <w:tcPr>
            <w:tcW w:w="6458" w:type="dxa"/>
          </w:tcPr>
          <w:p w14:paraId="37151F88" w14:textId="0C2DCFEE" w:rsidR="004018E7" w:rsidRDefault="004018E7" w:rsidP="00955D2D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Authorisation to issue shares</w:t>
            </w:r>
          </w:p>
        </w:tc>
        <w:tc>
          <w:tcPr>
            <w:tcW w:w="992" w:type="dxa"/>
          </w:tcPr>
          <w:p w14:paraId="40678703" w14:textId="77777777" w:rsidR="004018E7" w:rsidRPr="00AC72B8" w:rsidRDefault="004018E7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5EB3596D" w14:textId="77777777" w:rsidR="004018E7" w:rsidRPr="00AC72B8" w:rsidRDefault="004018E7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217A948C" w14:textId="77777777" w:rsidR="004018E7" w:rsidRPr="00AC72B8" w:rsidRDefault="004018E7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7A6282" w:rsidRPr="0020449D" w14:paraId="2E513DD8" w14:textId="77777777" w:rsidTr="00955D2D">
        <w:tc>
          <w:tcPr>
            <w:tcW w:w="625" w:type="dxa"/>
          </w:tcPr>
          <w:p w14:paraId="3156B94A" w14:textId="4645B3FA" w:rsidR="007A6282" w:rsidRPr="00AC72B8" w:rsidRDefault="004018E7" w:rsidP="00955D2D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7b</w:t>
            </w:r>
          </w:p>
        </w:tc>
        <w:tc>
          <w:tcPr>
            <w:tcW w:w="6458" w:type="dxa"/>
          </w:tcPr>
          <w:p w14:paraId="670F213A" w14:textId="77777777" w:rsidR="007A6282" w:rsidRPr="00AC72B8" w:rsidRDefault="007A6282" w:rsidP="00955D2D">
            <w:pPr>
              <w:rPr>
                <w:rFonts w:cs="Arial"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Authorisation to restrict or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>exclude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 pre-emptive rights</w:t>
            </w:r>
          </w:p>
        </w:tc>
        <w:tc>
          <w:tcPr>
            <w:tcW w:w="992" w:type="dxa"/>
          </w:tcPr>
          <w:p w14:paraId="4A7A9AA4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5C8B66FC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6AFAB07B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  <w:tr w:rsidR="007A6282" w:rsidRPr="0020449D" w14:paraId="0F72DE85" w14:textId="77777777" w:rsidTr="00955D2D">
        <w:tc>
          <w:tcPr>
            <w:tcW w:w="625" w:type="dxa"/>
          </w:tcPr>
          <w:p w14:paraId="7DBE5551" w14:textId="726BD426" w:rsidR="007A6282" w:rsidRPr="00AC72B8" w:rsidRDefault="004018E7" w:rsidP="001806E8">
            <w:pPr>
              <w:jc w:val="right"/>
              <w:rPr>
                <w:rFonts w:cs="Arial"/>
                <w:b/>
                <w:bCs/>
                <w:sz w:val="20"/>
                <w:lang w:val="en-GB" w:eastAsia="nl-NL"/>
              </w:rPr>
            </w:pPr>
            <w:r>
              <w:rPr>
                <w:rFonts w:cs="Arial"/>
                <w:b/>
                <w:bCs/>
                <w:sz w:val="20"/>
                <w:lang w:val="en-GB" w:eastAsia="nl-NL"/>
              </w:rPr>
              <w:t>8</w:t>
            </w:r>
          </w:p>
        </w:tc>
        <w:tc>
          <w:tcPr>
            <w:tcW w:w="6458" w:type="dxa"/>
          </w:tcPr>
          <w:p w14:paraId="09DBFA11" w14:textId="77777777" w:rsidR="007A6282" w:rsidRPr="00AC72B8" w:rsidRDefault="007A6282" w:rsidP="001806E8">
            <w:pPr>
              <w:rPr>
                <w:rFonts w:cs="Arial"/>
                <w:b/>
                <w:bCs/>
                <w:sz w:val="20"/>
                <w:lang w:val="en-GB" w:eastAsia="nl-NL"/>
              </w:rPr>
            </w:pP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>Authori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 xml:space="preserve">sation 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 xml:space="preserve">to 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>repurchase</w:t>
            </w:r>
            <w:r>
              <w:rPr>
                <w:rFonts w:cs="Arial"/>
                <w:b/>
                <w:bCs/>
                <w:sz w:val="20"/>
                <w:lang w:val="en-GB" w:eastAsia="nl-NL"/>
              </w:rPr>
              <w:t xml:space="preserve"> </w:t>
            </w:r>
            <w:r w:rsidR="001806E8">
              <w:rPr>
                <w:rFonts w:cs="Arial"/>
                <w:b/>
                <w:bCs/>
                <w:sz w:val="20"/>
                <w:lang w:val="en-GB" w:eastAsia="nl-NL"/>
              </w:rPr>
              <w:t xml:space="preserve">Kendrion N.V. </w:t>
            </w:r>
            <w:r w:rsidRPr="00AC72B8">
              <w:rPr>
                <w:rFonts w:cs="Arial"/>
                <w:b/>
                <w:bCs/>
                <w:sz w:val="20"/>
                <w:lang w:val="en-GB" w:eastAsia="nl-NL"/>
              </w:rPr>
              <w:t>shares</w:t>
            </w:r>
          </w:p>
        </w:tc>
        <w:tc>
          <w:tcPr>
            <w:tcW w:w="992" w:type="dxa"/>
          </w:tcPr>
          <w:p w14:paraId="5715188B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992" w:type="dxa"/>
          </w:tcPr>
          <w:p w14:paraId="5F5B7971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  <w:tc>
          <w:tcPr>
            <w:tcW w:w="1134" w:type="dxa"/>
          </w:tcPr>
          <w:p w14:paraId="534EC1EF" w14:textId="77777777" w:rsidR="007A6282" w:rsidRPr="00AC72B8" w:rsidRDefault="007A6282" w:rsidP="00955D2D">
            <w:pPr>
              <w:jc w:val="both"/>
              <w:rPr>
                <w:rFonts w:cs="Arial"/>
                <w:sz w:val="20"/>
                <w:lang w:val="en-GB" w:eastAsia="nl-NL"/>
              </w:rPr>
            </w:pPr>
          </w:p>
        </w:tc>
      </w:tr>
    </w:tbl>
    <w:p w14:paraId="44CF4EFC" w14:textId="77777777" w:rsidR="007A6282" w:rsidRPr="00AC72B8" w:rsidRDefault="007A6282" w:rsidP="007A6282">
      <w:pPr>
        <w:jc w:val="both"/>
        <w:rPr>
          <w:szCs w:val="24"/>
          <w:lang w:val="en-US" w:eastAsia="nl-NL"/>
        </w:rPr>
      </w:pPr>
    </w:p>
    <w:p w14:paraId="6015FC00" w14:textId="77777777" w:rsidR="007A6282" w:rsidRPr="00AC72B8" w:rsidRDefault="007A6282" w:rsidP="007A6282">
      <w:pPr>
        <w:jc w:val="both"/>
        <w:rPr>
          <w:szCs w:val="24"/>
          <w:lang w:val="en-GB" w:eastAsia="nl-NL"/>
        </w:rPr>
      </w:pPr>
      <w:r w:rsidRPr="00AC72B8">
        <w:rPr>
          <w:szCs w:val="24"/>
          <w:lang w:val="en-GB" w:eastAsia="nl-NL"/>
        </w:rPr>
        <w:t>and further to do all things that he/she deems necessary or helpful in this respect, with the right of substitution.</w:t>
      </w:r>
    </w:p>
    <w:p w14:paraId="46717FC4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0B3F4E09" w14:textId="2FCD2146" w:rsidR="007A6282" w:rsidRPr="00AC72B8" w:rsidRDefault="007A6282" w:rsidP="007A6282">
      <w:pPr>
        <w:jc w:val="both"/>
        <w:rPr>
          <w:rFonts w:eastAsiaTheme="minorEastAsia"/>
          <w:lang w:val="en-GB"/>
        </w:rPr>
      </w:pPr>
      <w:r w:rsidRPr="00AC72B8">
        <w:rPr>
          <w:rFonts w:eastAsiaTheme="minorEastAsia"/>
          <w:lang w:val="en-GB"/>
        </w:rPr>
        <w:t>Signed in ____________________on __________________ 20</w:t>
      </w:r>
      <w:r w:rsidR="008428AF">
        <w:rPr>
          <w:rFonts w:eastAsiaTheme="minorEastAsia"/>
          <w:lang w:val="en-GB"/>
        </w:rPr>
        <w:t>2</w:t>
      </w:r>
      <w:r w:rsidR="004018E7">
        <w:rPr>
          <w:rFonts w:eastAsiaTheme="minorEastAsia"/>
          <w:lang w:val="en-GB"/>
        </w:rPr>
        <w:t>2</w:t>
      </w:r>
      <w:r w:rsidRPr="00AC72B8">
        <w:rPr>
          <w:rFonts w:eastAsiaTheme="minorEastAsia"/>
          <w:lang w:val="en-GB"/>
        </w:rPr>
        <w:t>.</w:t>
      </w:r>
    </w:p>
    <w:p w14:paraId="16A15BDB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474D96F5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06A509E7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04798EAE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  <w:r w:rsidRPr="00AC72B8">
        <w:rPr>
          <w:rFonts w:eastAsiaTheme="minorEastAsia"/>
          <w:lang w:val="en-GB"/>
        </w:rPr>
        <w:t>_____________________________</w:t>
      </w:r>
    </w:p>
    <w:p w14:paraId="46635FAF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  <w:r w:rsidRPr="00AC72B8">
        <w:rPr>
          <w:rFonts w:eastAsiaTheme="minorEastAsia"/>
          <w:lang w:val="en-GB"/>
        </w:rPr>
        <w:t>Name:</w:t>
      </w:r>
    </w:p>
    <w:p w14:paraId="6D5A986F" w14:textId="77777777" w:rsidR="007A6282" w:rsidRPr="00AC72B8" w:rsidRDefault="007A6282" w:rsidP="007A6282">
      <w:pPr>
        <w:jc w:val="both"/>
        <w:rPr>
          <w:rFonts w:eastAsiaTheme="minorEastAsia"/>
          <w:lang w:val="en-GB"/>
        </w:rPr>
      </w:pPr>
    </w:p>
    <w:p w14:paraId="4796CEB0" w14:textId="576DEF4A" w:rsidR="007A6282" w:rsidRPr="00655340" w:rsidRDefault="007A6282" w:rsidP="00826988">
      <w:pPr>
        <w:rPr>
          <w:lang w:val="en-US"/>
        </w:rPr>
      </w:pPr>
      <w:r w:rsidRPr="00AC72B8">
        <w:rPr>
          <w:rFonts w:eastAsiaTheme="minorEastAsia"/>
          <w:i/>
          <w:sz w:val="18"/>
          <w:szCs w:val="18"/>
          <w:lang w:val="en-GB"/>
        </w:rPr>
        <w:t xml:space="preserve">A copy of the signed power of attorney should be received before </w:t>
      </w:r>
      <w:r w:rsidR="005F0108">
        <w:rPr>
          <w:rFonts w:eastAsiaTheme="minorEastAsia"/>
          <w:i/>
          <w:sz w:val="18"/>
          <w:szCs w:val="18"/>
          <w:lang w:val="en-GB"/>
        </w:rPr>
        <w:t>Tuesday</w:t>
      </w:r>
      <w:r w:rsidR="00907B31">
        <w:rPr>
          <w:rFonts w:eastAsiaTheme="minorEastAsia"/>
          <w:i/>
          <w:sz w:val="18"/>
          <w:szCs w:val="18"/>
          <w:lang w:val="en-GB"/>
        </w:rPr>
        <w:t xml:space="preserve"> </w:t>
      </w:r>
      <w:r w:rsidR="004018E7">
        <w:rPr>
          <w:rFonts w:eastAsiaTheme="minorEastAsia"/>
          <w:i/>
          <w:sz w:val="18"/>
          <w:szCs w:val="18"/>
          <w:lang w:val="en-GB"/>
        </w:rPr>
        <w:t>5</w:t>
      </w:r>
      <w:r w:rsidR="005F0108">
        <w:rPr>
          <w:rFonts w:eastAsiaTheme="minorEastAsia"/>
          <w:i/>
          <w:sz w:val="18"/>
          <w:szCs w:val="18"/>
          <w:lang w:val="en-GB"/>
        </w:rPr>
        <w:t xml:space="preserve"> April 202</w:t>
      </w:r>
      <w:r w:rsidR="004018E7">
        <w:rPr>
          <w:rFonts w:eastAsiaTheme="minorEastAsia"/>
          <w:i/>
          <w:sz w:val="18"/>
          <w:szCs w:val="18"/>
          <w:lang w:val="en-GB"/>
        </w:rPr>
        <w:t>2</w:t>
      </w:r>
      <w:r w:rsidR="005F0108">
        <w:rPr>
          <w:rFonts w:eastAsiaTheme="minorEastAsia"/>
          <w:i/>
          <w:sz w:val="18"/>
          <w:szCs w:val="18"/>
          <w:lang w:val="en-GB"/>
        </w:rPr>
        <w:t>,</w:t>
      </w:r>
      <w:r w:rsidR="003F4B10">
        <w:rPr>
          <w:rFonts w:eastAsiaTheme="minorEastAsia"/>
          <w:i/>
          <w:sz w:val="18"/>
          <w:szCs w:val="18"/>
          <w:lang w:val="en-GB"/>
        </w:rPr>
        <w:t xml:space="preserve"> 5pm CET</w:t>
      </w:r>
      <w:r w:rsidRPr="00AC72B8">
        <w:rPr>
          <w:rFonts w:eastAsiaTheme="minorEastAsia"/>
          <w:i/>
          <w:sz w:val="18"/>
          <w:szCs w:val="18"/>
          <w:lang w:val="en-GB"/>
        </w:rPr>
        <w:t xml:space="preserve"> by Mr</w:t>
      </w:r>
      <w:r>
        <w:rPr>
          <w:rFonts w:eastAsiaTheme="minorEastAsia"/>
          <w:i/>
          <w:sz w:val="18"/>
          <w:szCs w:val="18"/>
          <w:lang w:val="en-GB"/>
        </w:rPr>
        <w:t>s Y. Wiersma</w:t>
      </w:r>
      <w:r w:rsidRPr="00AC72B8">
        <w:rPr>
          <w:rFonts w:eastAsiaTheme="minorEastAsia"/>
          <w:i/>
          <w:sz w:val="18"/>
          <w:szCs w:val="18"/>
          <w:lang w:val="en-GB"/>
        </w:rPr>
        <w:t>, Co</w:t>
      </w:r>
      <w:r>
        <w:rPr>
          <w:rFonts w:eastAsiaTheme="minorEastAsia"/>
          <w:i/>
          <w:sz w:val="18"/>
          <w:szCs w:val="18"/>
          <w:lang w:val="en-GB"/>
        </w:rPr>
        <w:t>mpany</w:t>
      </w:r>
      <w:r w:rsidRPr="00AC72B8">
        <w:rPr>
          <w:rFonts w:eastAsiaTheme="minorEastAsia"/>
          <w:i/>
          <w:sz w:val="18"/>
          <w:szCs w:val="18"/>
          <w:lang w:val="en-GB"/>
        </w:rPr>
        <w:t xml:space="preserve"> Secretary, Kendrion N.V.,</w:t>
      </w:r>
      <w:r w:rsidR="008428AF">
        <w:rPr>
          <w:rFonts w:eastAsiaTheme="minorEastAsia"/>
          <w:i/>
          <w:sz w:val="18"/>
          <w:szCs w:val="18"/>
          <w:lang w:val="en-GB"/>
        </w:rPr>
        <w:t xml:space="preserve"> Vesta Building – 5</w:t>
      </w:r>
      <w:r w:rsidR="008428AF" w:rsidRPr="008428AF">
        <w:rPr>
          <w:rFonts w:eastAsiaTheme="minorEastAsia"/>
          <w:i/>
          <w:sz w:val="18"/>
          <w:szCs w:val="18"/>
          <w:vertAlign w:val="superscript"/>
          <w:lang w:val="en-GB"/>
        </w:rPr>
        <w:t>th</w:t>
      </w:r>
      <w:r w:rsidR="008428AF">
        <w:rPr>
          <w:rFonts w:eastAsiaTheme="minorEastAsia"/>
          <w:i/>
          <w:sz w:val="18"/>
          <w:szCs w:val="18"/>
          <w:lang w:val="en-GB"/>
        </w:rPr>
        <w:t xml:space="preserve"> floor, </w:t>
      </w:r>
      <w:proofErr w:type="spellStart"/>
      <w:r w:rsidR="008428AF">
        <w:rPr>
          <w:rFonts w:eastAsiaTheme="minorEastAsia"/>
          <w:i/>
          <w:sz w:val="18"/>
          <w:szCs w:val="18"/>
          <w:lang w:val="en-GB"/>
        </w:rPr>
        <w:t>Herikerbergweg</w:t>
      </w:r>
      <w:proofErr w:type="spellEnd"/>
      <w:r w:rsidR="008428AF">
        <w:rPr>
          <w:rFonts w:eastAsiaTheme="minorEastAsia"/>
          <w:i/>
          <w:sz w:val="18"/>
          <w:szCs w:val="18"/>
          <w:lang w:val="en-GB"/>
        </w:rPr>
        <w:t xml:space="preserve"> </w:t>
      </w:r>
      <w:r w:rsidR="00212D4E">
        <w:rPr>
          <w:rFonts w:eastAsiaTheme="minorEastAsia"/>
          <w:i/>
          <w:sz w:val="18"/>
          <w:szCs w:val="18"/>
          <w:lang w:val="en-GB"/>
        </w:rPr>
        <w:t>213</w:t>
      </w:r>
      <w:r w:rsidR="008428AF">
        <w:rPr>
          <w:rFonts w:eastAsiaTheme="minorEastAsia"/>
          <w:i/>
          <w:sz w:val="18"/>
          <w:szCs w:val="18"/>
          <w:lang w:val="en-GB"/>
        </w:rPr>
        <w:t>, 1101 CN Amsterdam</w:t>
      </w:r>
      <w:r w:rsidRPr="00AC72B8">
        <w:rPr>
          <w:rFonts w:eastAsiaTheme="minorEastAsia"/>
          <w:i/>
          <w:sz w:val="18"/>
          <w:szCs w:val="18"/>
          <w:lang w:val="en-GB"/>
        </w:rPr>
        <w:t xml:space="preserve">, the Netherlands, </w:t>
      </w:r>
      <w:r>
        <w:rPr>
          <w:rFonts w:eastAsiaTheme="minorEastAsia"/>
          <w:i/>
          <w:sz w:val="18"/>
          <w:szCs w:val="18"/>
          <w:lang w:val="en-GB"/>
        </w:rPr>
        <w:t>yvonne.wiersma</w:t>
      </w:r>
      <w:r w:rsidRPr="00AC72B8">
        <w:rPr>
          <w:rFonts w:eastAsiaTheme="minorEastAsia"/>
          <w:i/>
          <w:sz w:val="18"/>
          <w:szCs w:val="18"/>
          <w:lang w:val="en-GB"/>
        </w:rPr>
        <w:t>@kendrion.com.</w:t>
      </w:r>
    </w:p>
    <w:p w14:paraId="7F841338" w14:textId="77777777" w:rsidR="005D24E0" w:rsidRPr="008428AF" w:rsidRDefault="005D24E0" w:rsidP="002B3B5E">
      <w:pPr>
        <w:rPr>
          <w:lang w:val="en-US"/>
        </w:rPr>
      </w:pPr>
    </w:p>
    <w:sectPr w:rsidR="005D24E0" w:rsidRPr="008428AF" w:rsidSect="00100331">
      <w:headerReference w:type="default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985" w:right="567" w:bottom="851" w:left="1134" w:header="329" w:footer="3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2036" w14:textId="77777777" w:rsidR="006A2828" w:rsidRDefault="006A2828">
      <w:r>
        <w:separator/>
      </w:r>
    </w:p>
  </w:endnote>
  <w:endnote w:type="continuationSeparator" w:id="0">
    <w:p w14:paraId="05202128" w14:textId="77777777" w:rsidR="006A2828" w:rsidRDefault="006A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F44A" w14:textId="6B3ABD34" w:rsidR="00FD05F3" w:rsidRPr="00581C99" w:rsidRDefault="005D24E0" w:rsidP="00581C99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Page</w:t>
    </w:r>
    <w:r w:rsidR="00581C99" w:rsidRPr="002E600C">
      <w:rPr>
        <w:sz w:val="14"/>
        <w:szCs w:val="14"/>
      </w:rPr>
      <w:t xml:space="preserve"> </w:t>
    </w:r>
    <w:r w:rsidR="00581C99" w:rsidRPr="002E600C">
      <w:rPr>
        <w:sz w:val="14"/>
        <w:szCs w:val="14"/>
      </w:rPr>
      <w:fldChar w:fldCharType="begin"/>
    </w:r>
    <w:r w:rsidR="00581C99" w:rsidRPr="002E600C">
      <w:rPr>
        <w:sz w:val="14"/>
        <w:szCs w:val="14"/>
      </w:rPr>
      <w:instrText xml:space="preserve"> PAGE </w:instrText>
    </w:r>
    <w:r w:rsidR="00581C99" w:rsidRPr="002E600C">
      <w:rPr>
        <w:sz w:val="14"/>
        <w:szCs w:val="14"/>
      </w:rPr>
      <w:fldChar w:fldCharType="separate"/>
    </w:r>
    <w:r w:rsidR="003F4B10">
      <w:rPr>
        <w:noProof/>
        <w:sz w:val="14"/>
        <w:szCs w:val="14"/>
      </w:rPr>
      <w:t>1</w:t>
    </w:r>
    <w:r w:rsidR="00581C99" w:rsidRPr="002E600C">
      <w:rPr>
        <w:sz w:val="14"/>
        <w:szCs w:val="14"/>
      </w:rPr>
      <w:fldChar w:fldCharType="end"/>
    </w:r>
    <w:r w:rsidR="00581C99" w:rsidRPr="002E600C"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of</w:t>
    </w:r>
    <w:proofErr w:type="spellEnd"/>
    <w:r w:rsidR="00581C99" w:rsidRPr="002E600C">
      <w:rPr>
        <w:sz w:val="14"/>
        <w:szCs w:val="14"/>
      </w:rPr>
      <w:t xml:space="preserve"> </w:t>
    </w:r>
    <w:r w:rsidR="00581C99" w:rsidRPr="002E600C">
      <w:rPr>
        <w:sz w:val="14"/>
        <w:szCs w:val="14"/>
      </w:rPr>
      <w:fldChar w:fldCharType="begin"/>
    </w:r>
    <w:r w:rsidR="00581C99" w:rsidRPr="002E600C">
      <w:rPr>
        <w:sz w:val="14"/>
        <w:szCs w:val="14"/>
      </w:rPr>
      <w:instrText xml:space="preserve"> NUMPAGES </w:instrText>
    </w:r>
    <w:r w:rsidR="00581C99" w:rsidRPr="002E600C">
      <w:rPr>
        <w:sz w:val="14"/>
        <w:szCs w:val="14"/>
      </w:rPr>
      <w:fldChar w:fldCharType="separate"/>
    </w:r>
    <w:r w:rsidR="003F4B10">
      <w:rPr>
        <w:noProof/>
        <w:sz w:val="14"/>
        <w:szCs w:val="14"/>
      </w:rPr>
      <w:t>1</w:t>
    </w:r>
    <w:r w:rsidR="00581C99" w:rsidRPr="002E600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50B8" w14:textId="77777777" w:rsidR="00FD05F3" w:rsidRDefault="00FD05F3" w:rsidP="006B32D7">
    <w:pPr>
      <w:pStyle w:val="Footer"/>
      <w:jc w:val="right"/>
    </w:pPr>
  </w:p>
  <w:p w14:paraId="573C7B2F" w14:textId="77777777" w:rsidR="00FD05F3" w:rsidRDefault="00FD05F3" w:rsidP="006B32D7">
    <w:pPr>
      <w:pStyle w:val="Footer"/>
      <w:jc w:val="right"/>
    </w:pPr>
  </w:p>
  <w:p w14:paraId="464E99D5" w14:textId="77777777" w:rsidR="00FD05F3" w:rsidRDefault="00FD05F3" w:rsidP="006B32D7">
    <w:pPr>
      <w:pStyle w:val="Footer"/>
      <w:jc w:val="right"/>
    </w:pPr>
  </w:p>
  <w:p w14:paraId="50705F76" w14:textId="77777777" w:rsidR="00FD05F3" w:rsidRDefault="00FD05F3" w:rsidP="006B32D7">
    <w:pPr>
      <w:pStyle w:val="Footer"/>
      <w:jc w:val="right"/>
    </w:pPr>
  </w:p>
  <w:p w14:paraId="020B1EF8" w14:textId="77777777" w:rsidR="00FD05F3" w:rsidRDefault="00FD05F3" w:rsidP="006B32D7">
    <w:pPr>
      <w:pStyle w:val="Footer"/>
      <w:jc w:val="right"/>
    </w:pPr>
  </w:p>
  <w:p w14:paraId="7FAFAF2F" w14:textId="77777777" w:rsidR="00FD05F3" w:rsidRDefault="00FD05F3" w:rsidP="006B32D7">
    <w:pPr>
      <w:pStyle w:val="Footer"/>
      <w:jc w:val="right"/>
    </w:pPr>
  </w:p>
  <w:p w14:paraId="11E0ACE5" w14:textId="77777777" w:rsidR="00FD05F3" w:rsidRDefault="00FD05F3" w:rsidP="006B32D7">
    <w:pPr>
      <w:pStyle w:val="Footer"/>
      <w:jc w:val="right"/>
    </w:pPr>
  </w:p>
  <w:p w14:paraId="73557952" w14:textId="77777777" w:rsidR="00FD05F3" w:rsidRDefault="00FD05F3" w:rsidP="006B32D7">
    <w:pPr>
      <w:pStyle w:val="Footer"/>
      <w:jc w:val="right"/>
    </w:pPr>
  </w:p>
  <w:p w14:paraId="311C3E78" w14:textId="77777777" w:rsidR="00FD05F3" w:rsidRPr="002E600C" w:rsidRDefault="00FD05F3" w:rsidP="006B32D7">
    <w:pPr>
      <w:pStyle w:val="Footer"/>
      <w:jc w:val="right"/>
      <w:rPr>
        <w:szCs w:val="22"/>
      </w:rPr>
    </w:pPr>
  </w:p>
  <w:p w14:paraId="239548DA" w14:textId="77777777" w:rsidR="00FD05F3" w:rsidRPr="002E600C" w:rsidRDefault="00FD05F3" w:rsidP="006B32D7">
    <w:pPr>
      <w:pStyle w:val="Footer"/>
      <w:jc w:val="right"/>
      <w:rPr>
        <w:szCs w:val="22"/>
      </w:rPr>
    </w:pPr>
  </w:p>
  <w:p w14:paraId="3118A312" w14:textId="77777777" w:rsidR="00FD05F3" w:rsidRPr="002E600C" w:rsidRDefault="00FD05F3" w:rsidP="006B32D7">
    <w:pPr>
      <w:pStyle w:val="Footer"/>
      <w:jc w:val="right"/>
      <w:rPr>
        <w:sz w:val="14"/>
        <w:szCs w:val="14"/>
      </w:rPr>
    </w:pPr>
    <w:r w:rsidRPr="002E600C">
      <w:rPr>
        <w:sz w:val="14"/>
        <w:szCs w:val="14"/>
      </w:rPr>
      <w:fldChar w:fldCharType="begin"/>
    </w:r>
    <w:r w:rsidRPr="002E600C">
      <w:rPr>
        <w:sz w:val="14"/>
        <w:szCs w:val="14"/>
      </w:rPr>
      <w:instrText xml:space="preserve"> FILENAME </w:instrText>
    </w:r>
    <w:r w:rsidRPr="002E600C">
      <w:rPr>
        <w:sz w:val="14"/>
        <w:szCs w:val="14"/>
      </w:rPr>
      <w:fldChar w:fldCharType="separate"/>
    </w:r>
    <w:r w:rsidR="007A6282">
      <w:rPr>
        <w:noProof/>
        <w:sz w:val="14"/>
        <w:szCs w:val="14"/>
      </w:rPr>
      <w:t>Document3</w:t>
    </w:r>
    <w:r w:rsidRPr="002E600C">
      <w:rPr>
        <w:sz w:val="14"/>
        <w:szCs w:val="14"/>
      </w:rPr>
      <w:fldChar w:fldCharType="end"/>
    </w:r>
  </w:p>
  <w:p w14:paraId="1934B525" w14:textId="28E6B49B" w:rsidR="00FD05F3" w:rsidRPr="002E600C" w:rsidRDefault="00FD05F3" w:rsidP="002E600C">
    <w:pPr>
      <w:pStyle w:val="Footer"/>
      <w:jc w:val="right"/>
      <w:rPr>
        <w:sz w:val="14"/>
        <w:szCs w:val="14"/>
      </w:rPr>
    </w:pPr>
    <w:r w:rsidRPr="002E600C">
      <w:rPr>
        <w:sz w:val="14"/>
        <w:szCs w:val="14"/>
      </w:rPr>
      <w:fldChar w:fldCharType="begin"/>
    </w:r>
    <w:r w:rsidRPr="002E600C">
      <w:rPr>
        <w:sz w:val="14"/>
        <w:szCs w:val="14"/>
      </w:rPr>
      <w:instrText xml:space="preserve"> DATE \@ "dd.MM.yyyy" </w:instrText>
    </w:r>
    <w:r w:rsidRPr="002E600C">
      <w:rPr>
        <w:sz w:val="14"/>
        <w:szCs w:val="14"/>
      </w:rPr>
      <w:fldChar w:fldCharType="separate"/>
    </w:r>
    <w:r w:rsidR="0020449D">
      <w:rPr>
        <w:noProof/>
        <w:sz w:val="14"/>
        <w:szCs w:val="14"/>
      </w:rPr>
      <w:t>28.02.2022</w:t>
    </w:r>
    <w:r w:rsidRPr="002E600C">
      <w:rPr>
        <w:sz w:val="14"/>
        <w:szCs w:val="14"/>
      </w:rPr>
      <w:fldChar w:fldCharType="end"/>
    </w:r>
    <w:r w:rsidRPr="002E600C">
      <w:rPr>
        <w:sz w:val="14"/>
        <w:szCs w:val="14"/>
      </w:rPr>
      <w:t xml:space="preserve"> // </w:t>
    </w:r>
    <w:r>
      <w:rPr>
        <w:sz w:val="14"/>
        <w:szCs w:val="14"/>
      </w:rPr>
      <w:t>Seite</w:t>
    </w:r>
    <w:r w:rsidRPr="002E600C">
      <w:rPr>
        <w:sz w:val="14"/>
        <w:szCs w:val="14"/>
      </w:rPr>
      <w:t xml:space="preserve"> </w:t>
    </w:r>
    <w:r w:rsidRPr="002E600C">
      <w:rPr>
        <w:sz w:val="14"/>
        <w:szCs w:val="14"/>
      </w:rPr>
      <w:fldChar w:fldCharType="begin"/>
    </w:r>
    <w:r w:rsidRPr="002E600C">
      <w:rPr>
        <w:sz w:val="14"/>
        <w:szCs w:val="14"/>
      </w:rPr>
      <w:instrText xml:space="preserve"> PAGE </w:instrText>
    </w:r>
    <w:r w:rsidRPr="002E600C">
      <w:rPr>
        <w:sz w:val="14"/>
        <w:szCs w:val="14"/>
      </w:rPr>
      <w:fldChar w:fldCharType="separate"/>
    </w:r>
    <w:r w:rsidR="002B3B5E">
      <w:rPr>
        <w:noProof/>
        <w:sz w:val="14"/>
        <w:szCs w:val="14"/>
      </w:rPr>
      <w:t>1</w:t>
    </w:r>
    <w:r w:rsidRPr="002E600C">
      <w:rPr>
        <w:sz w:val="14"/>
        <w:szCs w:val="14"/>
      </w:rPr>
      <w:fldChar w:fldCharType="end"/>
    </w:r>
    <w:r w:rsidRPr="002E600C">
      <w:rPr>
        <w:sz w:val="14"/>
        <w:szCs w:val="14"/>
      </w:rPr>
      <w:t xml:space="preserve"> </w:t>
    </w:r>
    <w:r>
      <w:rPr>
        <w:sz w:val="14"/>
        <w:szCs w:val="14"/>
      </w:rPr>
      <w:t>von</w:t>
    </w:r>
    <w:r w:rsidRPr="002E600C">
      <w:rPr>
        <w:sz w:val="14"/>
        <w:szCs w:val="14"/>
      </w:rPr>
      <w:t xml:space="preserve"> </w:t>
    </w:r>
    <w:r w:rsidRPr="002E600C">
      <w:rPr>
        <w:sz w:val="14"/>
        <w:szCs w:val="14"/>
      </w:rPr>
      <w:fldChar w:fldCharType="begin"/>
    </w:r>
    <w:r w:rsidRPr="002E600C">
      <w:rPr>
        <w:sz w:val="14"/>
        <w:szCs w:val="14"/>
      </w:rPr>
      <w:instrText xml:space="preserve"> NUMPAGES </w:instrText>
    </w:r>
    <w:r w:rsidRPr="002E600C">
      <w:rPr>
        <w:sz w:val="14"/>
        <w:szCs w:val="14"/>
      </w:rPr>
      <w:fldChar w:fldCharType="separate"/>
    </w:r>
    <w:r w:rsidR="007A6282">
      <w:rPr>
        <w:noProof/>
        <w:sz w:val="14"/>
        <w:szCs w:val="14"/>
      </w:rPr>
      <w:t>1</w:t>
    </w:r>
    <w:r w:rsidRPr="002E60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A12" w14:textId="77777777" w:rsidR="006A2828" w:rsidRDefault="006A2828">
      <w:r>
        <w:separator/>
      </w:r>
    </w:p>
  </w:footnote>
  <w:footnote w:type="continuationSeparator" w:id="0">
    <w:p w14:paraId="453D0806" w14:textId="77777777" w:rsidR="006A2828" w:rsidRDefault="006A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E217" w14:textId="77777777" w:rsidR="00FD05F3" w:rsidRDefault="00FD05F3" w:rsidP="00100331">
    <w:pPr>
      <w:pStyle w:val="Header"/>
      <w:tabs>
        <w:tab w:val="clear" w:pos="4536"/>
        <w:tab w:val="clear" w:pos="9072"/>
        <w:tab w:val="left" w:pos="2235"/>
      </w:tabs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126FD17" wp14:editId="4BFD89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950" cy="10689429"/>
          <wp:effectExtent l="0" t="0" r="635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tjejaeger:Documents:1 - Kundenprojekte:Kendrion:Geschäftspapiere:Briefbogen:ICS:ics-letter-malente-4c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950" cy="10689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7D70" w14:textId="77777777" w:rsidR="00FD05F3" w:rsidRDefault="00FD05F3">
    <w:pPr>
      <w:pStyle w:val="Header"/>
    </w:pPr>
  </w:p>
  <w:p w14:paraId="44D3FE7D" w14:textId="77777777" w:rsidR="00FD05F3" w:rsidRDefault="00FD05F3">
    <w:pPr>
      <w:pStyle w:val="Header"/>
    </w:pPr>
  </w:p>
  <w:p w14:paraId="13D6E238" w14:textId="77777777" w:rsidR="00FD05F3" w:rsidRDefault="00FD05F3">
    <w:pPr>
      <w:pStyle w:val="Header"/>
    </w:pPr>
  </w:p>
  <w:p w14:paraId="35B14BE5" w14:textId="77777777" w:rsidR="00FD05F3" w:rsidRDefault="00FD05F3">
    <w:pPr>
      <w:pStyle w:val="Header"/>
    </w:pPr>
  </w:p>
  <w:p w14:paraId="6DB969F4" w14:textId="77777777" w:rsidR="00FD05F3" w:rsidRDefault="00FD05F3">
    <w:pPr>
      <w:pStyle w:val="Header"/>
    </w:pPr>
  </w:p>
  <w:p w14:paraId="7D22A6B4" w14:textId="77777777" w:rsidR="00FD05F3" w:rsidRDefault="00FD05F3">
    <w:pPr>
      <w:pStyle w:val="Header"/>
    </w:pPr>
  </w:p>
  <w:p w14:paraId="35624B57" w14:textId="77777777" w:rsidR="00FD05F3" w:rsidRDefault="00FD05F3">
    <w:pPr>
      <w:pStyle w:val="Header"/>
    </w:pPr>
  </w:p>
  <w:p w14:paraId="16F11D81" w14:textId="77777777" w:rsidR="00FD05F3" w:rsidRDefault="00FD05F3">
    <w:pPr>
      <w:pStyle w:val="Header"/>
    </w:pPr>
  </w:p>
  <w:p w14:paraId="3B05899F" w14:textId="77777777" w:rsidR="00FD05F3" w:rsidRDefault="00FD05F3">
    <w:pPr>
      <w:pStyle w:val="Header"/>
    </w:pPr>
  </w:p>
  <w:p w14:paraId="5E7D7599" w14:textId="77777777" w:rsidR="00FD05F3" w:rsidRDefault="00FD05F3">
    <w:pPr>
      <w:pStyle w:val="Header"/>
    </w:pPr>
  </w:p>
  <w:p w14:paraId="0E154A73" w14:textId="77777777" w:rsidR="00FD05F3" w:rsidRPr="00F959A5" w:rsidRDefault="00FD05F3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E4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0CC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EA5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E6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461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848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D21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9BC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F98A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60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92A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E42F1"/>
    <w:multiLevelType w:val="singleLevel"/>
    <w:tmpl w:val="D6562D92"/>
    <w:lvl w:ilvl="0">
      <w:start w:val="50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2" w15:restartNumberingAfterBreak="0">
    <w:nsid w:val="0F1836AB"/>
    <w:multiLevelType w:val="hybridMultilevel"/>
    <w:tmpl w:val="083E7A98"/>
    <w:lvl w:ilvl="0" w:tplc="AD00593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0593"/>
    <w:multiLevelType w:val="singleLevel"/>
    <w:tmpl w:val="2C68F1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6177452"/>
    <w:multiLevelType w:val="singleLevel"/>
    <w:tmpl w:val="82601FE6"/>
    <w:lvl w:ilvl="0">
      <w:start w:val="50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EA668F"/>
    <w:multiLevelType w:val="singleLevel"/>
    <w:tmpl w:val="76E0F5C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82"/>
    <w:rsid w:val="00003ECB"/>
    <w:rsid w:val="00024FAC"/>
    <w:rsid w:val="00035224"/>
    <w:rsid w:val="00054348"/>
    <w:rsid w:val="00054793"/>
    <w:rsid w:val="000763FE"/>
    <w:rsid w:val="00084ABD"/>
    <w:rsid w:val="000B0F90"/>
    <w:rsid w:val="000B5493"/>
    <w:rsid w:val="000C312C"/>
    <w:rsid w:val="00100331"/>
    <w:rsid w:val="001806E8"/>
    <w:rsid w:val="00184ADD"/>
    <w:rsid w:val="001E05A8"/>
    <w:rsid w:val="0020449D"/>
    <w:rsid w:val="00212D4E"/>
    <w:rsid w:val="00213DDE"/>
    <w:rsid w:val="00232D67"/>
    <w:rsid w:val="00233A99"/>
    <w:rsid w:val="002416DB"/>
    <w:rsid w:val="00253377"/>
    <w:rsid w:val="002609C0"/>
    <w:rsid w:val="0026109B"/>
    <w:rsid w:val="00296CFA"/>
    <w:rsid w:val="002B33BE"/>
    <w:rsid w:val="002B3B5E"/>
    <w:rsid w:val="002E51FD"/>
    <w:rsid w:val="002E600C"/>
    <w:rsid w:val="003065D1"/>
    <w:rsid w:val="00342124"/>
    <w:rsid w:val="003558A8"/>
    <w:rsid w:val="00360091"/>
    <w:rsid w:val="003937D0"/>
    <w:rsid w:val="003A5E20"/>
    <w:rsid w:val="003B551D"/>
    <w:rsid w:val="003D61A9"/>
    <w:rsid w:val="003E2ABA"/>
    <w:rsid w:val="003F4B10"/>
    <w:rsid w:val="004018E7"/>
    <w:rsid w:val="00411CAA"/>
    <w:rsid w:val="00451380"/>
    <w:rsid w:val="004865C1"/>
    <w:rsid w:val="004C4DFB"/>
    <w:rsid w:val="004D285B"/>
    <w:rsid w:val="004E7BD4"/>
    <w:rsid w:val="005449F8"/>
    <w:rsid w:val="005646F1"/>
    <w:rsid w:val="00565645"/>
    <w:rsid w:val="00581C99"/>
    <w:rsid w:val="00595BF6"/>
    <w:rsid w:val="005C6862"/>
    <w:rsid w:val="005D24E0"/>
    <w:rsid w:val="005F0108"/>
    <w:rsid w:val="00644D1E"/>
    <w:rsid w:val="00690C97"/>
    <w:rsid w:val="006A2828"/>
    <w:rsid w:val="006A6D47"/>
    <w:rsid w:val="006B32D7"/>
    <w:rsid w:val="006B3DA6"/>
    <w:rsid w:val="006C2536"/>
    <w:rsid w:val="006C63D9"/>
    <w:rsid w:val="007052B7"/>
    <w:rsid w:val="00723650"/>
    <w:rsid w:val="0073041B"/>
    <w:rsid w:val="00731B22"/>
    <w:rsid w:val="00756509"/>
    <w:rsid w:val="007A4B19"/>
    <w:rsid w:val="007A6282"/>
    <w:rsid w:val="007C40DA"/>
    <w:rsid w:val="007C7D3E"/>
    <w:rsid w:val="007E1127"/>
    <w:rsid w:val="007E1488"/>
    <w:rsid w:val="007F4999"/>
    <w:rsid w:val="00814CC8"/>
    <w:rsid w:val="00815640"/>
    <w:rsid w:val="00816B70"/>
    <w:rsid w:val="00825146"/>
    <w:rsid w:val="00826988"/>
    <w:rsid w:val="008428AF"/>
    <w:rsid w:val="008532D6"/>
    <w:rsid w:val="00864D30"/>
    <w:rsid w:val="00892971"/>
    <w:rsid w:val="008B6DAE"/>
    <w:rsid w:val="008E1897"/>
    <w:rsid w:val="008F59D7"/>
    <w:rsid w:val="0090404B"/>
    <w:rsid w:val="00907B31"/>
    <w:rsid w:val="00930E89"/>
    <w:rsid w:val="00936685"/>
    <w:rsid w:val="00975468"/>
    <w:rsid w:val="0097576B"/>
    <w:rsid w:val="009800FE"/>
    <w:rsid w:val="009978AB"/>
    <w:rsid w:val="009A3509"/>
    <w:rsid w:val="009A5B52"/>
    <w:rsid w:val="009A7203"/>
    <w:rsid w:val="009C57C9"/>
    <w:rsid w:val="00A020B2"/>
    <w:rsid w:val="00A149F7"/>
    <w:rsid w:val="00A2249D"/>
    <w:rsid w:val="00A421E8"/>
    <w:rsid w:val="00A46BD3"/>
    <w:rsid w:val="00A82500"/>
    <w:rsid w:val="00A95554"/>
    <w:rsid w:val="00A95C85"/>
    <w:rsid w:val="00AA421B"/>
    <w:rsid w:val="00AD6CB2"/>
    <w:rsid w:val="00B17F4A"/>
    <w:rsid w:val="00B65C1A"/>
    <w:rsid w:val="00B90462"/>
    <w:rsid w:val="00BC5994"/>
    <w:rsid w:val="00BD4A87"/>
    <w:rsid w:val="00C02B34"/>
    <w:rsid w:val="00C1272C"/>
    <w:rsid w:val="00C161AF"/>
    <w:rsid w:val="00C31862"/>
    <w:rsid w:val="00C41067"/>
    <w:rsid w:val="00C60AC0"/>
    <w:rsid w:val="00C70392"/>
    <w:rsid w:val="00C7245A"/>
    <w:rsid w:val="00CB56A5"/>
    <w:rsid w:val="00CB7A4B"/>
    <w:rsid w:val="00CF1D40"/>
    <w:rsid w:val="00D30905"/>
    <w:rsid w:val="00D6125F"/>
    <w:rsid w:val="00D8693D"/>
    <w:rsid w:val="00D925EE"/>
    <w:rsid w:val="00DA3059"/>
    <w:rsid w:val="00DA729C"/>
    <w:rsid w:val="00DC196E"/>
    <w:rsid w:val="00DC53CD"/>
    <w:rsid w:val="00E1265C"/>
    <w:rsid w:val="00E535A7"/>
    <w:rsid w:val="00E65D3A"/>
    <w:rsid w:val="00E81BA0"/>
    <w:rsid w:val="00E953DE"/>
    <w:rsid w:val="00EA57EB"/>
    <w:rsid w:val="00EB6397"/>
    <w:rsid w:val="00EF215C"/>
    <w:rsid w:val="00F47490"/>
    <w:rsid w:val="00F5567B"/>
    <w:rsid w:val="00F83BE1"/>
    <w:rsid w:val="00F959A5"/>
    <w:rsid w:val="00FB79F1"/>
    <w:rsid w:val="00FC1FFC"/>
    <w:rsid w:val="00FD05F3"/>
    <w:rsid w:val="00FD407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04E6E"/>
  <w14:defaultImageDpi w14:val="330"/>
  <w15:docId w15:val="{C9843C69-B873-493C-80C3-D53E91A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28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3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851"/>
      </w:tabs>
      <w:outlineLvl w:val="6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15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7B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C3B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D7"/>
    <w:rPr>
      <w:rFonts w:ascii="Arial" w:hAnsi="Arial"/>
      <w:sz w:val="22"/>
    </w:rPr>
  </w:style>
  <w:style w:type="paragraph" w:styleId="ListParagraph">
    <w:name w:val="List Paragraph"/>
    <w:basedOn w:val="Normal"/>
    <w:uiPriority w:val="99"/>
    <w:qFormat/>
    <w:rsid w:val="006A6D47"/>
    <w:pPr>
      <w:numPr>
        <w:numId w:val="16"/>
      </w:numPr>
      <w:spacing w:line="280" w:lineRule="atLeast"/>
      <w:ind w:left="708" w:firstLine="0"/>
    </w:pPr>
    <w:rPr>
      <w:rFonts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7C55CD-CB9D-48EB-B538-75A7ECCC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Arbeitsvorlage hoch</vt:lpstr>
      <vt:lpstr>Protokoll Deutsch</vt:lpstr>
    </vt:vector>
  </TitlesOfParts>
  <Manager/>
  <Company>Kendrion</Company>
  <LinksUpToDate>false</LinksUpToDate>
  <CharactersWithSpaces>1761</CharactersWithSpaces>
  <SharedDoc>false</SharedDoc>
  <HyperlinkBase/>
  <HLinks>
    <vt:vector size="12" baseType="variant">
      <vt:variant>
        <vt:i4>8192004</vt:i4>
      </vt:variant>
      <vt:variant>
        <vt:i4>-1</vt:i4>
      </vt:variant>
      <vt:variant>
        <vt:i4>2084</vt:i4>
      </vt:variant>
      <vt:variant>
        <vt:i4>1</vt:i4>
      </vt:variant>
      <vt:variant>
        <vt:lpwstr>ics-letter-sibiu-4c</vt:lpwstr>
      </vt:variant>
      <vt:variant>
        <vt:lpwstr/>
      </vt:variant>
      <vt:variant>
        <vt:i4>5177348</vt:i4>
      </vt:variant>
      <vt:variant>
        <vt:i4>-1</vt:i4>
      </vt:variant>
      <vt:variant>
        <vt:i4>2085</vt:i4>
      </vt:variant>
      <vt:variant>
        <vt:i4>1</vt:i4>
      </vt:variant>
      <vt:variant>
        <vt:lpwstr>ics-letter-sibiu-4c2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2022 POA</dc:title>
  <dc:subject/>
  <dc:creator>Verhoeven Helene</dc:creator>
  <cp:keywords/>
  <dc:description/>
  <cp:lastModifiedBy>Cleo Ferreira</cp:lastModifiedBy>
  <cp:revision>17</cp:revision>
  <cp:lastPrinted>2011-08-01T11:57:00Z</cp:lastPrinted>
  <dcterms:created xsi:type="dcterms:W3CDTF">2020-04-20T14:14:00Z</dcterms:created>
  <dcterms:modified xsi:type="dcterms:W3CDTF">2022-02-28T09:19:00Z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bd70c6-9ba9-4037-9111-1f823150b967_Enabled">
    <vt:lpwstr>true</vt:lpwstr>
  </property>
  <property fmtid="{D5CDD505-2E9C-101B-9397-08002B2CF9AE}" pid="3" name="MSIP_Label_4cbd70c6-9ba9-4037-9111-1f823150b967_SetDate">
    <vt:lpwstr>2021-03-01T10:55:56Z</vt:lpwstr>
  </property>
  <property fmtid="{D5CDD505-2E9C-101B-9397-08002B2CF9AE}" pid="4" name="MSIP_Label_4cbd70c6-9ba9-4037-9111-1f823150b967_Method">
    <vt:lpwstr>Privileged</vt:lpwstr>
  </property>
  <property fmtid="{D5CDD505-2E9C-101B-9397-08002B2CF9AE}" pid="5" name="MSIP_Label_4cbd70c6-9ba9-4037-9111-1f823150b967_Name">
    <vt:lpwstr>Public</vt:lpwstr>
  </property>
  <property fmtid="{D5CDD505-2E9C-101B-9397-08002B2CF9AE}" pid="6" name="MSIP_Label_4cbd70c6-9ba9-4037-9111-1f823150b967_SiteId">
    <vt:lpwstr>e6fc4b92-be04-44ba-a2a8-897e15f197df</vt:lpwstr>
  </property>
  <property fmtid="{D5CDD505-2E9C-101B-9397-08002B2CF9AE}" pid="7" name="MSIP_Label_4cbd70c6-9ba9-4037-9111-1f823150b967_ActionId">
    <vt:lpwstr>94578b40-a184-4293-9692-6f9672d23640</vt:lpwstr>
  </property>
  <property fmtid="{D5CDD505-2E9C-101B-9397-08002B2CF9AE}" pid="8" name="MSIP_Label_4cbd70c6-9ba9-4037-9111-1f823150b967_ContentBits">
    <vt:lpwstr>0</vt:lpwstr>
  </property>
</Properties>
</file>